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O poder do ozônio para veículos: alta potência e controle! O</w:t>
      </w:r>
      <w:r w:rsidDel="00000000" w:rsidR="00000000" w:rsidRPr="00000000">
        <w:rPr>
          <w:b w:val="1"/>
          <w:rtl w:val="0"/>
        </w:rPr>
        <w:t xml:space="preserve"> gerador de ozônio OZkronos</w:t>
      </w:r>
      <w:r w:rsidDel="00000000" w:rsidR="00000000" w:rsidRPr="00000000">
        <w:rPr>
          <w:rtl w:val="0"/>
        </w:rPr>
        <w:t xml:space="preserve">inativa micro-organismos e remove odores, ajudando na purificação e descontaminação do ambiente. Ele pode ser utilizado em veículos de pequeno e médio porte. 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Este modelo conta com um </w:t>
      </w:r>
      <w:r w:rsidDel="00000000" w:rsidR="00000000" w:rsidRPr="00000000">
        <w:rPr>
          <w:b w:val="1"/>
          <w:rtl w:val="0"/>
        </w:rPr>
        <w:t xml:space="preserve">horímetro</w:t>
      </w:r>
      <w:r w:rsidDel="00000000" w:rsidR="00000000" w:rsidRPr="00000000">
        <w:rPr>
          <w:rtl w:val="0"/>
        </w:rPr>
        <w:t xml:space="preserve"> para contabilizar o número de aplicações, sendo ideal para administrar o trabalho de equipes e analisar o retorno sobre o seu investimento. 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Trata-se de uma tecnologia sustentável e inovadora que apresenta resultados rápidos e seguros.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Leve o poder do ozônio até você e seus clientes! </w:t>
        <w:br w:type="textWrapping"/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Benefícios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Combate micro-organismos como bactérias, vírus e fungos; 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Descontamina o interior do ar-condicionado;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Remove maus odores impregnados como cheiro de cigarro, animais, vômito, bebidas e comidas derramadas, etc. 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Atinge locais onde uma limpeza convencional não alcança, ou falha em alcançar, em partes de difícil acesso como estofados, cortinas, tapetes, etc.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Sem necessidade de refil ou recarga;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Equipamento portátil, fácil manuseio e desligamento automático;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Horímetro para o controle do total de aplicações.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Onde utilizar?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Veículos de pequeno e médio porte;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Locadoras de veículos;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Concessionárias.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Qual é o tempo de aplicação?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Veículos de passeio: 12 minutos ou conforme necessidade.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